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vertAnchor="text" w:horzAnchor="margin" w:tblpY="-443"/>
        <w:tblW w:w="0" w:type="auto"/>
        <w:tblLook w:val="04A0"/>
      </w:tblPr>
      <w:tblGrid>
        <w:gridCol w:w="1955"/>
        <w:gridCol w:w="6706"/>
      </w:tblGrid>
      <w:tr w:rsidR="00726B7B" w:rsidTr="00432FB3">
        <w:trPr>
          <w:trHeight w:val="1260"/>
        </w:trPr>
        <w:tc>
          <w:tcPr>
            <w:tcW w:w="8661" w:type="dxa"/>
            <w:gridSpan w:val="2"/>
            <w:vAlign w:val="bottom"/>
          </w:tcPr>
          <w:p w:rsidR="00432FB3" w:rsidRDefault="00432FB3" w:rsidP="00432FB3">
            <w:pPr>
              <w:jc w:val="center"/>
              <w:rPr>
                <w:b/>
              </w:rPr>
            </w:pPr>
            <w:r w:rsidRPr="00432FB3">
              <w:rPr>
                <w:b/>
              </w:rPr>
              <w:drawing>
                <wp:inline distT="0" distB="0" distL="0" distR="0">
                  <wp:extent cx="510583" cy="425302"/>
                  <wp:effectExtent l="19050" t="0" r="3767" b="0"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855" cy="43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7B" w:rsidRDefault="00726B7B" w:rsidP="00432FB3">
            <w:pPr>
              <w:jc w:val="center"/>
              <w:rPr>
                <w:b/>
              </w:rPr>
            </w:pPr>
            <w:r>
              <w:rPr>
                <w:b/>
              </w:rPr>
              <w:t>Curso Livre de Alemão (A1)</w:t>
            </w:r>
          </w:p>
          <w:p w:rsidR="00726B7B" w:rsidRDefault="00726B7B" w:rsidP="00432FB3">
            <w:pPr>
              <w:jc w:val="center"/>
              <w:rPr>
                <w:b/>
              </w:rPr>
            </w:pPr>
          </w:p>
        </w:tc>
      </w:tr>
      <w:tr w:rsidR="00726B7B" w:rsidTr="00432FB3">
        <w:trPr>
          <w:trHeight w:val="2800"/>
        </w:trPr>
        <w:tc>
          <w:tcPr>
            <w:tcW w:w="1955" w:type="dxa"/>
            <w:vAlign w:val="center"/>
          </w:tcPr>
          <w:p w:rsidR="00726B7B" w:rsidRDefault="00726B7B" w:rsidP="00726B7B">
            <w:pPr>
              <w:jc w:val="center"/>
              <w:rPr>
                <w:b/>
              </w:rPr>
            </w:pPr>
            <w:r>
              <w:rPr>
                <w:b/>
              </w:rPr>
              <w:t>Objetivos e Métodos</w:t>
            </w:r>
          </w:p>
        </w:tc>
        <w:tc>
          <w:tcPr>
            <w:tcW w:w="6706" w:type="dxa"/>
            <w:vAlign w:val="center"/>
          </w:tcPr>
          <w:p w:rsidR="00726B7B" w:rsidRPr="002C6C7A" w:rsidRDefault="00726B7B" w:rsidP="00726B7B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Capacitar alunos sem conhecimentos prévios de alemão, ou alunos que pretendam fazer uma revisão de conteúdos básicos desta língua, para a aprendizagem do alemão como língua estrangeira, tendo por base os níveis A1.1 e A1.2 do QECR;</w:t>
            </w:r>
          </w:p>
          <w:p w:rsidR="00726B7B" w:rsidRPr="002C6C7A" w:rsidRDefault="00726B7B" w:rsidP="00726B7B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Familiarizar os alunos com as várias competências linguísticas através da constante interação de atividades que promovam a compreensão oral e escrita, assim como a expressão oral e escrita;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Promover a interação comunicacional, através de trabalho de pares, sobretudo em situações de produção oral e escrita;</w:t>
            </w:r>
          </w:p>
          <w:p w:rsidR="00726B7B" w:rsidRPr="002C6C7A" w:rsidRDefault="00726B7B" w:rsidP="00726B7B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Aulas de 4 horas semanais</w:t>
            </w:r>
            <w:r w:rsidR="008C69D7">
              <w:t>, num total de 60 horas.</w:t>
            </w:r>
          </w:p>
        </w:tc>
      </w:tr>
      <w:tr w:rsidR="00726B7B" w:rsidTr="00432FB3">
        <w:trPr>
          <w:trHeight w:val="7857"/>
        </w:trPr>
        <w:tc>
          <w:tcPr>
            <w:tcW w:w="1955" w:type="dxa"/>
            <w:vAlign w:val="center"/>
          </w:tcPr>
          <w:p w:rsidR="00726B7B" w:rsidRDefault="00726B7B" w:rsidP="00726B7B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6706" w:type="dxa"/>
            <w:vAlign w:val="center"/>
          </w:tcPr>
          <w:p w:rsidR="00726B7B" w:rsidRPr="00DB2CE8" w:rsidRDefault="00726B7B" w:rsidP="00726B7B">
            <w:pPr>
              <w:jc w:val="center"/>
              <w:rPr>
                <w:b/>
              </w:rPr>
            </w:pPr>
            <w:r w:rsidRPr="00DB2CE8">
              <w:rPr>
                <w:b/>
              </w:rPr>
              <w:t>Conteúdos temáticos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 w:rsidRPr="00DB2CE8">
              <w:t>Aspetos caracterizadores da língua e da cultura alemã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Dados pessoais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Interação em contexto de café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Interação em contexto de sala de aula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Cidades, Países e Línguas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Tipos de habitação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Marcações / combinações / Rotina diária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Orientação numa cidade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Profissões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Férias e atividades de tempos livres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Alimentos / ida ao restaurante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Vestuário</w:t>
            </w:r>
          </w:p>
          <w:p w:rsidR="00726B7B" w:rsidRDefault="00726B7B" w:rsidP="00726B7B">
            <w:pPr>
              <w:jc w:val="center"/>
              <w:rPr>
                <w:b/>
              </w:rPr>
            </w:pPr>
            <w:r w:rsidRPr="00726B7B">
              <w:rPr>
                <w:b/>
              </w:rPr>
              <w:t>Conteúdos gramaticais</w:t>
            </w:r>
          </w:p>
          <w:p w:rsidR="00726B7B" w:rsidRPr="00726B7B" w:rsidRDefault="00726B7B" w:rsidP="00726B7B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 xml:space="preserve">Regras do sistema fonológico </w:t>
            </w:r>
            <w:r w:rsidR="00432FB3">
              <w:t>da língua</w:t>
            </w:r>
            <w:r>
              <w:rPr>
                <w:b/>
              </w:rPr>
              <w:t xml:space="preserve"> </w:t>
            </w:r>
            <w:r>
              <w:t>alemã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Prosódia (acentuação de palavras e de frases, entoação de frases declarativas, assertivas, exclamativas e interrogativas)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Pronomes pessoais e possessivos (Nominativo e Acusativo)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Artigos definidos e indefinidos (Nominativo, Acusativo e Dativo)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Substantivos (diferenciação entre géneros e formação de plural)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Adjetivos (uso predicativo e atributivo)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Preposições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 xml:space="preserve">Conjugação verbal no </w:t>
            </w:r>
            <w:proofErr w:type="spellStart"/>
            <w:r w:rsidRPr="00726B7B">
              <w:rPr>
                <w:i/>
              </w:rPr>
              <w:t>Präsens</w:t>
            </w:r>
            <w:proofErr w:type="spellEnd"/>
            <w:r w:rsidRPr="00726B7B">
              <w:rPr>
                <w:i/>
              </w:rPr>
              <w:t xml:space="preserve">, </w:t>
            </w:r>
            <w:proofErr w:type="spellStart"/>
            <w:r w:rsidRPr="00726B7B">
              <w:rPr>
                <w:i/>
              </w:rPr>
              <w:t>Imperativ</w:t>
            </w:r>
            <w:proofErr w:type="spellEnd"/>
            <w:r w:rsidRPr="00726B7B">
              <w:rPr>
                <w:i/>
              </w:rPr>
              <w:t xml:space="preserve"> </w:t>
            </w:r>
            <w:r>
              <w:t xml:space="preserve">e </w:t>
            </w:r>
            <w:proofErr w:type="spellStart"/>
            <w:r w:rsidRPr="00726B7B">
              <w:rPr>
                <w:i/>
              </w:rPr>
              <w:t>Präteritum</w:t>
            </w:r>
            <w:proofErr w:type="spellEnd"/>
            <w:r>
              <w:t xml:space="preserve"> (</w:t>
            </w:r>
            <w:proofErr w:type="spellStart"/>
            <w:r w:rsidRPr="00726B7B">
              <w:rPr>
                <w:i/>
              </w:rPr>
              <w:t>sein</w:t>
            </w:r>
            <w:proofErr w:type="spellEnd"/>
            <w:r>
              <w:t xml:space="preserve"> e </w:t>
            </w:r>
            <w:proofErr w:type="spellStart"/>
            <w:r w:rsidRPr="00726B7B">
              <w:rPr>
                <w:i/>
              </w:rPr>
              <w:t>haben</w:t>
            </w:r>
            <w:proofErr w:type="spellEnd"/>
            <w:r>
              <w:t>)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Verbos Modais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Verbos de prefixo separável / não-separável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Verbos reflexivos</w:t>
            </w:r>
          </w:p>
          <w:p w:rsidR="00726B7B" w:rsidRPr="00DB2CE8" w:rsidRDefault="00726B7B" w:rsidP="00726B7B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Sintaxe: a estrutura frásica (frases declarativas, interrogativas e imperativas); a negação; orações coordenadas e subordinadas.</w:t>
            </w:r>
          </w:p>
        </w:tc>
      </w:tr>
      <w:tr w:rsidR="00726B7B" w:rsidTr="00432FB3">
        <w:trPr>
          <w:trHeight w:val="840"/>
        </w:trPr>
        <w:tc>
          <w:tcPr>
            <w:tcW w:w="1955" w:type="dxa"/>
            <w:vAlign w:val="center"/>
          </w:tcPr>
          <w:p w:rsidR="00726B7B" w:rsidRDefault="00726B7B" w:rsidP="00726B7B">
            <w:pPr>
              <w:jc w:val="center"/>
              <w:rPr>
                <w:b/>
              </w:rPr>
            </w:pPr>
            <w:r>
              <w:rPr>
                <w:b/>
              </w:rPr>
              <w:t>Avaliação</w:t>
            </w:r>
          </w:p>
        </w:tc>
        <w:tc>
          <w:tcPr>
            <w:tcW w:w="6706" w:type="dxa"/>
            <w:vAlign w:val="center"/>
          </w:tcPr>
          <w:p w:rsidR="00432FB3" w:rsidRPr="00432FB3" w:rsidRDefault="00432FB3" w:rsidP="00432FB3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 w:rsidRPr="00432FB3">
              <w:t xml:space="preserve">50% </w:t>
            </w:r>
            <w:proofErr w:type="gramStart"/>
            <w:r w:rsidRPr="00432FB3">
              <w:t>atr</w:t>
            </w:r>
            <w:r>
              <w:t>ibuídos</w:t>
            </w:r>
            <w:proofErr w:type="gramEnd"/>
            <w:r>
              <w:t xml:space="preserve"> à frequência e participação ativa nas aulas; </w:t>
            </w:r>
          </w:p>
          <w:p w:rsidR="00726B7B" w:rsidRPr="00432FB3" w:rsidRDefault="00432FB3" w:rsidP="00432FB3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>
              <w:t xml:space="preserve">50% </w:t>
            </w:r>
            <w:proofErr w:type="gramStart"/>
            <w:r>
              <w:t>atribuídos</w:t>
            </w:r>
            <w:proofErr w:type="gramEnd"/>
            <w:r>
              <w:t xml:space="preserve"> aos testes de compreensão e expressão escrita, compreensão oral e expressão oral.</w:t>
            </w:r>
          </w:p>
        </w:tc>
      </w:tr>
    </w:tbl>
    <w:p w:rsidR="002C6C7A" w:rsidRDefault="002C6C7A" w:rsidP="002C6C7A">
      <w:pPr>
        <w:jc w:val="center"/>
        <w:rPr>
          <w:b/>
        </w:rPr>
      </w:pPr>
    </w:p>
    <w:p w:rsidR="00726B7B" w:rsidRPr="006E75E2" w:rsidRDefault="00726B7B" w:rsidP="00726B7B"/>
    <w:p w:rsidR="002C6C7A" w:rsidRPr="002C6C7A" w:rsidRDefault="002C6C7A">
      <w:pPr>
        <w:jc w:val="center"/>
        <w:rPr>
          <w:b/>
        </w:rPr>
      </w:pPr>
    </w:p>
    <w:sectPr w:rsidR="002C6C7A" w:rsidRPr="002C6C7A" w:rsidSect="001F3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798"/>
    <w:multiLevelType w:val="hybridMultilevel"/>
    <w:tmpl w:val="7604D75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0B4"/>
    <w:multiLevelType w:val="hybridMultilevel"/>
    <w:tmpl w:val="3B6C101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561BE"/>
    <w:multiLevelType w:val="hybridMultilevel"/>
    <w:tmpl w:val="126E638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07AE6"/>
    <w:multiLevelType w:val="hybridMultilevel"/>
    <w:tmpl w:val="28ACA2C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504BD"/>
    <w:multiLevelType w:val="hybridMultilevel"/>
    <w:tmpl w:val="C74097E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3327F"/>
    <w:rsid w:val="001F3751"/>
    <w:rsid w:val="002C6C7A"/>
    <w:rsid w:val="0033327F"/>
    <w:rsid w:val="00432FB3"/>
    <w:rsid w:val="00726B7B"/>
    <w:rsid w:val="008C69D7"/>
    <w:rsid w:val="00D15559"/>
    <w:rsid w:val="00DB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7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C6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C6C7A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43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Cabral de Carvalho</dc:creator>
  <cp:lastModifiedBy>Raquel Cabral de Carvalho</cp:lastModifiedBy>
  <cp:revision>3</cp:revision>
  <dcterms:created xsi:type="dcterms:W3CDTF">2013-02-12T11:09:00Z</dcterms:created>
  <dcterms:modified xsi:type="dcterms:W3CDTF">2013-02-12T13:00:00Z</dcterms:modified>
</cp:coreProperties>
</file>